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FB32" w14:textId="744229E4" w:rsidR="001450E6" w:rsidRPr="001450E6" w:rsidRDefault="001450E6" w:rsidP="001450E6">
      <w:pPr>
        <w:jc w:val="center"/>
        <w:rPr>
          <w:b/>
          <w:bCs/>
        </w:rPr>
      </w:pPr>
      <w:r w:rsidRPr="001450E6">
        <w:rPr>
          <w:b/>
          <w:bCs/>
        </w:rPr>
        <w:t xml:space="preserve">South Island </w:t>
      </w:r>
      <w:r>
        <w:rPr>
          <w:b/>
          <w:bCs/>
        </w:rPr>
        <w:t>MSA</w:t>
      </w:r>
      <w:r w:rsidRPr="001450E6">
        <w:rPr>
          <w:b/>
          <w:bCs/>
        </w:rPr>
        <w:t xml:space="preserve"> Strategic Planning Funding</w:t>
      </w:r>
    </w:p>
    <w:p w14:paraId="57B09F70" w14:textId="6B1AD1F3" w:rsidR="001450E6" w:rsidRDefault="007F49D0" w:rsidP="002B7D0C">
      <w:pPr>
        <w:jc w:val="both"/>
      </w:pPr>
      <w:r>
        <w:t xml:space="preserve">For 2025, </w:t>
      </w:r>
      <w:r w:rsidR="004A58B6">
        <w:t>a limited amount of funding is</w:t>
      </w:r>
      <w:r>
        <w:t xml:space="preserve"> available to support </w:t>
      </w:r>
      <w:r w:rsidR="00DE7169">
        <w:t xml:space="preserve">South Island-based </w:t>
      </w:r>
      <w:r w:rsidR="00941E5E">
        <w:t>divisions</w:t>
      </w:r>
      <w:r w:rsidR="001450E6" w:rsidRPr="001450E6">
        <w:t xml:space="preserve"> </w:t>
      </w:r>
      <w:r>
        <w:t>(or smaller departments</w:t>
      </w:r>
      <w:r w:rsidR="00DE7169">
        <w:t xml:space="preserve">) </w:t>
      </w:r>
      <w:r w:rsidR="001450E6" w:rsidRPr="001450E6">
        <w:t xml:space="preserve">to undertake collaborative conversations about goals, objectives, and action plans for the group. </w:t>
      </w:r>
      <w:r w:rsidR="002B7D0C">
        <w:t xml:space="preserve"> </w:t>
      </w:r>
      <w:r w:rsidR="002B7D0C" w:rsidRPr="002B7D0C">
        <w:t>It is intended that the majority of the division/department will participate in this collaborative work</w:t>
      </w:r>
      <w:r w:rsidR="002B7D0C">
        <w:t>.  P</w:t>
      </w:r>
      <w:r w:rsidR="002B7D0C" w:rsidRPr="002B7D0C">
        <w:t>lease note that we can only compensate those with privileges at RJH and/or VGH.</w:t>
      </w:r>
    </w:p>
    <w:p w14:paraId="2F95B942" w14:textId="09E02B62" w:rsidR="002B7D0C" w:rsidRDefault="006E4CBB" w:rsidP="002B7D0C">
      <w:pPr>
        <w:jc w:val="both"/>
      </w:pPr>
      <w:r>
        <w:t>Because this funding comes from Facility Engagement, the discussions must fit within the Funding Guidelines: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E4CBB" w14:paraId="13A85F4C" w14:textId="77777777" w:rsidTr="001E7FBF">
        <w:tc>
          <w:tcPr>
            <w:tcW w:w="4675" w:type="dxa"/>
          </w:tcPr>
          <w:p w14:paraId="6F842F00" w14:textId="341E284C" w:rsidR="006E4CBB" w:rsidRPr="001E7FBF" w:rsidRDefault="006E4CBB" w:rsidP="001450E6">
            <w:pPr>
              <w:jc w:val="both"/>
              <w:rPr>
                <w:b/>
                <w:bCs/>
                <w:i/>
                <w:iCs/>
              </w:rPr>
            </w:pPr>
            <w:r w:rsidRPr="001E7FBF">
              <w:rPr>
                <w:b/>
                <w:bCs/>
                <w:i/>
                <w:iCs/>
              </w:rPr>
              <w:t>In Scope</w:t>
            </w:r>
          </w:p>
        </w:tc>
        <w:tc>
          <w:tcPr>
            <w:tcW w:w="4675" w:type="dxa"/>
          </w:tcPr>
          <w:p w14:paraId="3D0C15AD" w14:textId="5F24CF39" w:rsidR="006E4CBB" w:rsidRPr="001E7FBF" w:rsidRDefault="006E4CBB" w:rsidP="001450E6">
            <w:pPr>
              <w:jc w:val="both"/>
              <w:rPr>
                <w:b/>
                <w:bCs/>
                <w:i/>
                <w:iCs/>
              </w:rPr>
            </w:pPr>
            <w:r w:rsidRPr="001E7FBF">
              <w:rPr>
                <w:b/>
                <w:bCs/>
                <w:i/>
                <w:iCs/>
              </w:rPr>
              <w:t>Out of Scope</w:t>
            </w:r>
          </w:p>
        </w:tc>
      </w:tr>
      <w:tr w:rsidR="006E4CBB" w14:paraId="0E25AB55" w14:textId="77777777" w:rsidTr="001E7FBF">
        <w:tc>
          <w:tcPr>
            <w:tcW w:w="4675" w:type="dxa"/>
          </w:tcPr>
          <w:p w14:paraId="3D5CAB18" w14:textId="246D2036" w:rsidR="006E4CBB" w:rsidRDefault="006E4CBB" w:rsidP="001E7FBF">
            <w:pPr>
              <w:pStyle w:val="ListParagraph"/>
              <w:numPr>
                <w:ilvl w:val="0"/>
                <w:numId w:val="3"/>
              </w:numPr>
            </w:pPr>
            <w:r>
              <w:t>Strategic planning</w:t>
            </w:r>
          </w:p>
        </w:tc>
        <w:tc>
          <w:tcPr>
            <w:tcW w:w="4675" w:type="dxa"/>
          </w:tcPr>
          <w:p w14:paraId="271C924F" w14:textId="596C8A87" w:rsidR="006E4CBB" w:rsidRDefault="006E4CBB" w:rsidP="001A182D">
            <w:pPr>
              <w:pStyle w:val="ListParagraph"/>
              <w:numPr>
                <w:ilvl w:val="0"/>
                <w:numId w:val="5"/>
              </w:numPr>
            </w:pPr>
            <w:r>
              <w:t>Physician scheduling, including call</w:t>
            </w:r>
          </w:p>
        </w:tc>
      </w:tr>
      <w:tr w:rsidR="006E4CBB" w14:paraId="30E01723" w14:textId="77777777" w:rsidTr="001E7FBF">
        <w:tc>
          <w:tcPr>
            <w:tcW w:w="4675" w:type="dxa"/>
          </w:tcPr>
          <w:p w14:paraId="562A8C0F" w14:textId="1C801687" w:rsidR="006E4CBB" w:rsidRDefault="006E4CBB" w:rsidP="001E7FBF">
            <w:pPr>
              <w:pStyle w:val="ListParagraph"/>
              <w:numPr>
                <w:ilvl w:val="0"/>
                <w:numId w:val="3"/>
              </w:numPr>
            </w:pPr>
            <w:r>
              <w:t>Vision development</w:t>
            </w:r>
          </w:p>
        </w:tc>
        <w:tc>
          <w:tcPr>
            <w:tcW w:w="4675" w:type="dxa"/>
          </w:tcPr>
          <w:p w14:paraId="394BED6C" w14:textId="04DCB502" w:rsidR="006E4CBB" w:rsidRDefault="006E4CBB" w:rsidP="001A182D">
            <w:pPr>
              <w:pStyle w:val="ListParagraph"/>
              <w:numPr>
                <w:ilvl w:val="0"/>
                <w:numId w:val="5"/>
              </w:numPr>
            </w:pPr>
            <w:r>
              <w:t>Contracts and negotiations</w:t>
            </w:r>
          </w:p>
        </w:tc>
      </w:tr>
      <w:tr w:rsidR="006E4CBB" w14:paraId="18C9F9C3" w14:textId="77777777" w:rsidTr="001E7FBF">
        <w:tc>
          <w:tcPr>
            <w:tcW w:w="4675" w:type="dxa"/>
          </w:tcPr>
          <w:p w14:paraId="0C70B1A7" w14:textId="705BC196" w:rsidR="006E4CBB" w:rsidRDefault="006E4CBB" w:rsidP="001E7FBF">
            <w:pPr>
              <w:pStyle w:val="ListParagraph"/>
              <w:numPr>
                <w:ilvl w:val="0"/>
                <w:numId w:val="3"/>
              </w:numPr>
            </w:pPr>
            <w:r>
              <w:t>Division priorities</w:t>
            </w:r>
          </w:p>
        </w:tc>
        <w:tc>
          <w:tcPr>
            <w:tcW w:w="4675" w:type="dxa"/>
          </w:tcPr>
          <w:p w14:paraId="5A5C0F76" w14:textId="4FEFE78D" w:rsidR="006E4CBB" w:rsidRDefault="006E4CBB" w:rsidP="001A182D">
            <w:pPr>
              <w:pStyle w:val="ListParagraph"/>
              <w:numPr>
                <w:ilvl w:val="0"/>
                <w:numId w:val="5"/>
              </w:numPr>
            </w:pPr>
            <w:r>
              <w:t>Resource allocation</w:t>
            </w:r>
          </w:p>
        </w:tc>
      </w:tr>
      <w:tr w:rsidR="001E7FBF" w14:paraId="27EA7F8D" w14:textId="77777777" w:rsidTr="001E7FBF">
        <w:tc>
          <w:tcPr>
            <w:tcW w:w="4675" w:type="dxa"/>
          </w:tcPr>
          <w:p w14:paraId="14FF0968" w14:textId="24AA8D68" w:rsidR="001E7FBF" w:rsidRDefault="001A182D" w:rsidP="001E7FBF">
            <w:pPr>
              <w:pStyle w:val="ListParagraph"/>
              <w:numPr>
                <w:ilvl w:val="0"/>
                <w:numId w:val="3"/>
              </w:numPr>
            </w:pPr>
            <w:r>
              <w:t>Goal setting</w:t>
            </w:r>
          </w:p>
        </w:tc>
        <w:tc>
          <w:tcPr>
            <w:tcW w:w="4675" w:type="dxa"/>
          </w:tcPr>
          <w:p w14:paraId="1718A7CF" w14:textId="589C9971" w:rsidR="001E7FBF" w:rsidRDefault="001A182D" w:rsidP="001A182D">
            <w:pPr>
              <w:pStyle w:val="ListParagraph"/>
              <w:numPr>
                <w:ilvl w:val="0"/>
                <w:numId w:val="5"/>
              </w:numPr>
            </w:pPr>
            <w:r>
              <w:t>Recruitment</w:t>
            </w:r>
          </w:p>
        </w:tc>
      </w:tr>
      <w:tr w:rsidR="001A182D" w14:paraId="273F849D" w14:textId="77777777" w:rsidTr="001E7FBF">
        <w:tc>
          <w:tcPr>
            <w:tcW w:w="4675" w:type="dxa"/>
          </w:tcPr>
          <w:p w14:paraId="7DDC8A35" w14:textId="124C27A5" w:rsidR="001A182D" w:rsidRDefault="001A182D" w:rsidP="001A182D">
            <w:pPr>
              <w:pStyle w:val="ListParagraph"/>
              <w:numPr>
                <w:ilvl w:val="0"/>
                <w:numId w:val="4"/>
              </w:numPr>
            </w:pPr>
            <w:r>
              <w:t>Challenge identification and mitigation</w:t>
            </w:r>
          </w:p>
        </w:tc>
        <w:tc>
          <w:tcPr>
            <w:tcW w:w="4675" w:type="dxa"/>
          </w:tcPr>
          <w:p w14:paraId="10AF1183" w14:textId="410B6AF1" w:rsidR="001A182D" w:rsidRDefault="001A182D" w:rsidP="001A182D">
            <w:pPr>
              <w:pStyle w:val="ListParagraph"/>
              <w:numPr>
                <w:ilvl w:val="0"/>
                <w:numId w:val="5"/>
              </w:numPr>
            </w:pPr>
            <w:r>
              <w:t>Assigning or dividing up attendance for other meetings or committees</w:t>
            </w:r>
          </w:p>
        </w:tc>
      </w:tr>
      <w:tr w:rsidR="001A182D" w14:paraId="66E7732C" w14:textId="77777777" w:rsidTr="001E7FBF">
        <w:tc>
          <w:tcPr>
            <w:tcW w:w="4675" w:type="dxa"/>
          </w:tcPr>
          <w:p w14:paraId="0B1E8094" w14:textId="07D155F6" w:rsidR="001A182D" w:rsidRDefault="001A182D" w:rsidP="001A182D"/>
        </w:tc>
        <w:tc>
          <w:tcPr>
            <w:tcW w:w="4675" w:type="dxa"/>
          </w:tcPr>
          <w:p w14:paraId="2C377746" w14:textId="55C7C300" w:rsidR="001A182D" w:rsidRDefault="001A182D" w:rsidP="001A182D">
            <w:pPr>
              <w:pStyle w:val="ListParagraph"/>
              <w:numPr>
                <w:ilvl w:val="0"/>
                <w:numId w:val="5"/>
              </w:numPr>
            </w:pPr>
            <w:r>
              <w:t>Social events</w:t>
            </w:r>
          </w:p>
        </w:tc>
      </w:tr>
      <w:tr w:rsidR="001A182D" w14:paraId="56D9375B" w14:textId="77777777" w:rsidTr="001E7FBF">
        <w:tc>
          <w:tcPr>
            <w:tcW w:w="4675" w:type="dxa"/>
          </w:tcPr>
          <w:p w14:paraId="45A1BCE6" w14:textId="77777777" w:rsidR="001A182D" w:rsidRDefault="001A182D" w:rsidP="001A182D"/>
        </w:tc>
        <w:tc>
          <w:tcPr>
            <w:tcW w:w="4675" w:type="dxa"/>
          </w:tcPr>
          <w:p w14:paraId="68D88E55" w14:textId="643F8F41" w:rsidR="001A182D" w:rsidRDefault="001A182D" w:rsidP="001A182D">
            <w:pPr>
              <w:pStyle w:val="ListParagraph"/>
              <w:numPr>
                <w:ilvl w:val="0"/>
                <w:numId w:val="5"/>
              </w:numPr>
            </w:pPr>
            <w:r>
              <w:t>Equipment and space requests</w:t>
            </w:r>
          </w:p>
        </w:tc>
      </w:tr>
      <w:tr w:rsidR="001A182D" w14:paraId="6574E72F" w14:textId="77777777" w:rsidTr="001E7FBF">
        <w:tc>
          <w:tcPr>
            <w:tcW w:w="4675" w:type="dxa"/>
          </w:tcPr>
          <w:p w14:paraId="3B10A85B" w14:textId="77777777" w:rsidR="001A182D" w:rsidRDefault="001A182D" w:rsidP="001A182D"/>
        </w:tc>
        <w:tc>
          <w:tcPr>
            <w:tcW w:w="4675" w:type="dxa"/>
          </w:tcPr>
          <w:p w14:paraId="09177F22" w14:textId="314F7330" w:rsidR="001A182D" w:rsidRDefault="001A182D" w:rsidP="001A182D">
            <w:pPr>
              <w:pStyle w:val="ListParagraph"/>
              <w:numPr>
                <w:ilvl w:val="0"/>
                <w:numId w:val="5"/>
              </w:numPr>
            </w:pPr>
            <w:r>
              <w:t>Business meetings</w:t>
            </w:r>
          </w:p>
        </w:tc>
      </w:tr>
      <w:tr w:rsidR="001A182D" w14:paraId="474D3492" w14:textId="77777777" w:rsidTr="001E7FBF">
        <w:tc>
          <w:tcPr>
            <w:tcW w:w="4675" w:type="dxa"/>
          </w:tcPr>
          <w:p w14:paraId="3088A510" w14:textId="77777777" w:rsidR="001A182D" w:rsidRDefault="001A182D" w:rsidP="001A182D"/>
        </w:tc>
        <w:tc>
          <w:tcPr>
            <w:tcW w:w="4675" w:type="dxa"/>
          </w:tcPr>
          <w:p w14:paraId="05311708" w14:textId="0B8B015A" w:rsidR="001A182D" w:rsidRDefault="001A182D" w:rsidP="001A182D">
            <w:pPr>
              <w:pStyle w:val="ListParagraph"/>
              <w:numPr>
                <w:ilvl w:val="0"/>
                <w:numId w:val="5"/>
              </w:numPr>
            </w:pPr>
            <w:r>
              <w:t>Clinical discussions, including M&amp;M rounds, case reviews, journal club</w:t>
            </w:r>
          </w:p>
        </w:tc>
      </w:tr>
    </w:tbl>
    <w:p w14:paraId="492FE13D" w14:textId="77777777" w:rsidR="006E4CBB" w:rsidRDefault="006E4CBB" w:rsidP="001450E6">
      <w:pPr>
        <w:jc w:val="both"/>
      </w:pPr>
    </w:p>
    <w:p w14:paraId="6F00CF47" w14:textId="76D80123" w:rsidR="001450E6" w:rsidRPr="001450E6" w:rsidRDefault="001450E6" w:rsidP="001450E6">
      <w:pPr>
        <w:jc w:val="both"/>
      </w:pPr>
      <w:r w:rsidRPr="001450E6">
        <w:t>Three options are available to support these conversations:</w:t>
      </w:r>
    </w:p>
    <w:p w14:paraId="242660C5" w14:textId="5E653AEB" w:rsidR="001450E6" w:rsidRPr="001450E6" w:rsidRDefault="001450E6" w:rsidP="001450E6">
      <w:pPr>
        <w:jc w:val="both"/>
      </w:pPr>
      <w:r w:rsidRPr="001450E6">
        <w:rPr>
          <w:b/>
          <w:bCs/>
        </w:rPr>
        <w:t> Option 1:</w:t>
      </w:r>
      <w:r w:rsidRPr="001450E6">
        <w:t xml:space="preserve"> A </w:t>
      </w:r>
      <w:r w:rsidR="002B7D0C">
        <w:t>division/</w:t>
      </w:r>
      <w:r w:rsidRPr="001450E6">
        <w:t>department undertakes their own internal strategic planning session(s), without help from an outside facilitator. The MSA will provide templates to help guide the conversation. D</w:t>
      </w:r>
      <w:r w:rsidR="002B7D0C">
        <w:t>ivision/d</w:t>
      </w:r>
      <w:r w:rsidRPr="001450E6">
        <w:t xml:space="preserve">epartment members will receive up to </w:t>
      </w:r>
      <w:r>
        <w:t>3</w:t>
      </w:r>
      <w:r w:rsidRPr="001450E6">
        <w:t xml:space="preserve"> hours of sessional payment for their time, and the medical lead(s) of the strategic planning will receive up to </w:t>
      </w:r>
      <w:r>
        <w:t>10</w:t>
      </w:r>
      <w:r w:rsidRPr="001450E6">
        <w:t xml:space="preserve"> hours of additional sessional compensation for their coordinating role.</w:t>
      </w:r>
    </w:p>
    <w:p w14:paraId="1558271C" w14:textId="7EF53A08" w:rsidR="001450E6" w:rsidRPr="001450E6" w:rsidRDefault="001450E6" w:rsidP="001450E6">
      <w:pPr>
        <w:jc w:val="both"/>
      </w:pPr>
      <w:r w:rsidRPr="001450E6">
        <w:t> </w:t>
      </w:r>
      <w:r w:rsidRPr="001450E6">
        <w:rPr>
          <w:b/>
          <w:bCs/>
        </w:rPr>
        <w:t>Option 2:</w:t>
      </w:r>
      <w:r w:rsidRPr="001450E6">
        <w:t xml:space="preserve"> A </w:t>
      </w:r>
      <w:r w:rsidR="002B7D0C">
        <w:t>division/</w:t>
      </w:r>
      <w:r w:rsidRPr="001450E6">
        <w:t xml:space="preserve">department undertakes strategic planning session(s) with support from one of the </w:t>
      </w:r>
      <w:r w:rsidR="001E7FBF">
        <w:t>MSA Administrators</w:t>
      </w:r>
      <w:r w:rsidRPr="001450E6">
        <w:t>, using the templates described above.   D</w:t>
      </w:r>
      <w:r w:rsidR="002B7D0C">
        <w:t>ivision/d</w:t>
      </w:r>
      <w:r w:rsidRPr="001450E6">
        <w:t xml:space="preserve">epartment members will receive up to </w:t>
      </w:r>
      <w:r>
        <w:t>3</w:t>
      </w:r>
      <w:r w:rsidRPr="001450E6">
        <w:t xml:space="preserve"> hours of sessional payment for their time, and the medical lead(s) of the strategic planning will receive up to </w:t>
      </w:r>
      <w:r>
        <w:t>5</w:t>
      </w:r>
      <w:r w:rsidRPr="001450E6">
        <w:t xml:space="preserve"> hours of additional sessional compensation for their coordinating role.</w:t>
      </w:r>
    </w:p>
    <w:p w14:paraId="646AA967" w14:textId="20C02E55" w:rsidR="001450E6" w:rsidRDefault="001450E6" w:rsidP="001450E6">
      <w:pPr>
        <w:jc w:val="both"/>
      </w:pPr>
      <w:r w:rsidRPr="001450E6">
        <w:t> </w:t>
      </w:r>
      <w:r w:rsidRPr="001450E6">
        <w:rPr>
          <w:b/>
          <w:bCs/>
        </w:rPr>
        <w:t>Option 3:</w:t>
      </w:r>
      <w:r w:rsidRPr="001450E6">
        <w:t xml:space="preserve"> A d</w:t>
      </w:r>
      <w:r w:rsidR="002B7D0C">
        <w:t>ivision/d</w:t>
      </w:r>
      <w:r w:rsidRPr="001450E6">
        <w:t>epartment undertakes strategic planning sessions with support from an external facilitator</w:t>
      </w:r>
      <w:r>
        <w:t xml:space="preserve"> (costs run $3-10K).  Depending on the cost of the facilitator, additional funds for t</w:t>
      </w:r>
      <w:r w:rsidRPr="001450E6">
        <w:t>he medical lead(s)</w:t>
      </w:r>
      <w:r>
        <w:t xml:space="preserve"> and physician participants may be available.</w:t>
      </w:r>
    </w:p>
    <w:p w14:paraId="620B3BF7" w14:textId="6F635505" w:rsidR="001450E6" w:rsidRDefault="001450E6" w:rsidP="001450E6">
      <w:pPr>
        <w:jc w:val="both"/>
      </w:pPr>
      <w:r w:rsidRPr="001450E6">
        <w:rPr>
          <w:b/>
          <w:bCs/>
        </w:rPr>
        <w:lastRenderedPageBreak/>
        <w:t>Location</w:t>
      </w:r>
      <w:r>
        <w:t>:  The South Island MSA Admin team can help book an onsite meeting room for the strategic planning discussion.</w:t>
      </w:r>
    </w:p>
    <w:p w14:paraId="2D70C3FA" w14:textId="5D0CCC2D" w:rsidR="001450E6" w:rsidRDefault="001450E6" w:rsidP="001450E6">
      <w:pPr>
        <w:jc w:val="both"/>
      </w:pPr>
      <w:r w:rsidRPr="001450E6">
        <w:rPr>
          <w:b/>
          <w:bCs/>
        </w:rPr>
        <w:t>Catering</w:t>
      </w:r>
      <w:r>
        <w:t>:  The MSA can support up to $35 per person for catering.  This would be outside of the Strategic Planning Funding envelope.</w:t>
      </w:r>
    </w:p>
    <w:p w14:paraId="7FF656FF" w14:textId="77777777" w:rsidR="001E7FBF" w:rsidRDefault="00941E5E" w:rsidP="001450E6">
      <w:pPr>
        <w:jc w:val="both"/>
      </w:pPr>
      <w:r w:rsidRPr="00941E5E">
        <w:rPr>
          <w:b/>
          <w:bCs/>
        </w:rPr>
        <w:t>Process</w:t>
      </w:r>
      <w:r>
        <w:t xml:space="preserve">:  </w:t>
      </w:r>
    </w:p>
    <w:p w14:paraId="4E3A8915" w14:textId="22A512C2" w:rsidR="001E7FBF" w:rsidRDefault="002B7D0C" w:rsidP="001E7FBF">
      <w:pPr>
        <w:pStyle w:val="ListParagraph"/>
        <w:numPr>
          <w:ilvl w:val="0"/>
          <w:numId w:val="2"/>
        </w:numPr>
        <w:jc w:val="both"/>
      </w:pPr>
      <w:hyperlink r:id="rId7" w:history="1">
        <w:r w:rsidR="00941E5E" w:rsidRPr="002B7D0C">
          <w:rPr>
            <w:rStyle w:val="Hyperlink"/>
          </w:rPr>
          <w:t>An online request form</w:t>
        </w:r>
      </w:hyperlink>
      <w:r w:rsidR="00941E5E">
        <w:t xml:space="preserve"> will be completed by </w:t>
      </w:r>
      <w:r w:rsidR="00DE7169">
        <w:t>the physician leading the initiative for</w:t>
      </w:r>
      <w:r w:rsidR="00941E5E">
        <w:t xml:space="preserve"> the </w:t>
      </w:r>
      <w:r w:rsidR="00DE7169">
        <w:t>division or department</w:t>
      </w:r>
      <w:r w:rsidR="00941E5E">
        <w:t xml:space="preserve">.  </w:t>
      </w:r>
    </w:p>
    <w:p w14:paraId="0AE2FA18" w14:textId="39629043" w:rsidR="001E7FBF" w:rsidRDefault="001E7FBF" w:rsidP="001E7FBF">
      <w:pPr>
        <w:pStyle w:val="ListParagraph"/>
        <w:numPr>
          <w:ilvl w:val="0"/>
          <w:numId w:val="2"/>
        </w:numPr>
        <w:jc w:val="both"/>
      </w:pPr>
      <w:r>
        <w:t>T</w:t>
      </w:r>
      <w:r w:rsidR="00DE7169">
        <w:t>he lead physician</w:t>
      </w:r>
      <w:r>
        <w:t xml:space="preserve"> will be contacted by an MSA administrator to determine the most appropriate approach for the group to take and for any other details needed.</w:t>
      </w:r>
    </w:p>
    <w:p w14:paraId="54E0BBF1" w14:textId="36663A9A" w:rsidR="006E4CBB" w:rsidRDefault="00941E5E" w:rsidP="001E7FBF">
      <w:pPr>
        <w:pStyle w:val="ListParagraph"/>
        <w:numPr>
          <w:ilvl w:val="0"/>
          <w:numId w:val="2"/>
        </w:numPr>
        <w:jc w:val="both"/>
      </w:pPr>
      <w:r>
        <w:t xml:space="preserve">MSA Administrators will vet the requests for suitability, and make recommendations to the Executive, who will decide on funding.  </w:t>
      </w:r>
    </w:p>
    <w:p w14:paraId="48753D9C" w14:textId="597F1A45" w:rsidR="00941E5E" w:rsidRDefault="00941E5E" w:rsidP="006E4CBB">
      <w:pPr>
        <w:pStyle w:val="ListParagraph"/>
        <w:numPr>
          <w:ilvl w:val="0"/>
          <w:numId w:val="1"/>
        </w:numPr>
        <w:jc w:val="both"/>
      </w:pPr>
      <w:r>
        <w:t>Groups that cannot be funded in a year will be prioritized for the following year</w:t>
      </w:r>
      <w:r w:rsidR="006E4CBB">
        <w:t xml:space="preserve">, should </w:t>
      </w:r>
      <w:r w:rsidR="001E7FBF">
        <w:t>the South Island MSA</w:t>
      </w:r>
      <w:r w:rsidR="006E4CBB">
        <w:t xml:space="preserve"> be in the financial position to offer Strategic Planning Funding again.  </w:t>
      </w:r>
    </w:p>
    <w:p w14:paraId="368F2097" w14:textId="4EBE18B5" w:rsidR="006E4CBB" w:rsidRDefault="006E4CBB" w:rsidP="00F061FC">
      <w:pPr>
        <w:pStyle w:val="ListParagraph"/>
        <w:numPr>
          <w:ilvl w:val="0"/>
          <w:numId w:val="1"/>
        </w:numPr>
        <w:jc w:val="both"/>
      </w:pPr>
      <w:r>
        <w:t xml:space="preserve">Some </w:t>
      </w:r>
      <w:r w:rsidR="001E7FBF">
        <w:t>teams</w:t>
      </w:r>
      <w:r>
        <w:t xml:space="preserve"> have accessed SIFEI Engagement Project Funding to support this kind of work in the past.  They are welcome to apply three years (or longer) after their engagement project.  Priority will be given to divisions that have not accessed funding previously.</w:t>
      </w:r>
    </w:p>
    <w:p w14:paraId="7C32F365" w14:textId="7CE02D23" w:rsidR="00F061FC" w:rsidRDefault="00F061FC" w:rsidP="00F061FC">
      <w:pPr>
        <w:pStyle w:val="ListParagraph"/>
        <w:numPr>
          <w:ilvl w:val="0"/>
          <w:numId w:val="1"/>
        </w:numPr>
        <w:jc w:val="both"/>
      </w:pPr>
      <w:r>
        <w:t>Funding will expire on March 31, 2026.</w:t>
      </w:r>
    </w:p>
    <w:p w14:paraId="491977BF" w14:textId="43E0B98A" w:rsidR="001E7FBF" w:rsidRDefault="001E7FBF" w:rsidP="001E7FBF">
      <w:pPr>
        <w:jc w:val="both"/>
        <w:rPr>
          <w:b/>
          <w:bCs/>
        </w:rPr>
      </w:pPr>
    </w:p>
    <w:p w14:paraId="3CF17D9A" w14:textId="1521DD74" w:rsidR="001E7FBF" w:rsidRPr="001450E6" w:rsidRDefault="001E7FBF" w:rsidP="001E7FBF">
      <w:pPr>
        <w:jc w:val="both"/>
      </w:pPr>
      <w:r w:rsidRPr="001E7FBF">
        <w:rPr>
          <w:b/>
          <w:bCs/>
        </w:rPr>
        <w:t>Questions</w:t>
      </w:r>
      <w:r>
        <w:t xml:space="preserve">?  Please contact us at </w:t>
      </w:r>
      <w:hyperlink r:id="rId8" w:history="1">
        <w:r w:rsidRPr="001E7FBF">
          <w:rPr>
            <w:rStyle w:val="Hyperlink"/>
          </w:rPr>
          <w:t>info@southislandmsa.ca</w:t>
        </w:r>
      </w:hyperlink>
    </w:p>
    <w:p w14:paraId="3352030C" w14:textId="77777777" w:rsidR="001450E6" w:rsidRDefault="001450E6"/>
    <w:sectPr w:rsidR="001450E6">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AF18" w14:textId="77777777" w:rsidR="00F335EA" w:rsidRDefault="00F335EA" w:rsidP="001450E6">
      <w:pPr>
        <w:spacing w:after="0" w:line="240" w:lineRule="auto"/>
      </w:pPr>
      <w:r>
        <w:separator/>
      </w:r>
    </w:p>
  </w:endnote>
  <w:endnote w:type="continuationSeparator" w:id="0">
    <w:p w14:paraId="3DB516F1" w14:textId="77777777" w:rsidR="00F335EA" w:rsidRDefault="00F335EA" w:rsidP="00145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FEE6" w14:textId="77777777" w:rsidR="00F335EA" w:rsidRDefault="00F335EA" w:rsidP="001450E6">
      <w:pPr>
        <w:spacing w:after="0" w:line="240" w:lineRule="auto"/>
      </w:pPr>
      <w:r>
        <w:separator/>
      </w:r>
    </w:p>
  </w:footnote>
  <w:footnote w:type="continuationSeparator" w:id="0">
    <w:p w14:paraId="328DE70C" w14:textId="77777777" w:rsidR="00F335EA" w:rsidRDefault="00F335EA" w:rsidP="00145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483C" w14:textId="6B917010" w:rsidR="001450E6" w:rsidRDefault="001450E6">
    <w:pPr>
      <w:pStyle w:val="Header"/>
    </w:pPr>
    <w:r>
      <w:rPr>
        <w:noProof/>
      </w:rPr>
      <w:drawing>
        <wp:inline distT="0" distB="0" distL="0" distR="0" wp14:anchorId="4584F3D9" wp14:editId="3089B6D7">
          <wp:extent cx="915171" cy="297180"/>
          <wp:effectExtent l="0" t="0" r="0" b="7620"/>
          <wp:docPr id="463120822"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20822" name="Picture 1"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20851" cy="2990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1FC"/>
    <w:multiLevelType w:val="hybridMultilevel"/>
    <w:tmpl w:val="E35AB37C"/>
    <w:lvl w:ilvl="0" w:tplc="9C8E97A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5656EB"/>
    <w:multiLevelType w:val="hybridMultilevel"/>
    <w:tmpl w:val="7EB217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3E1E9D"/>
    <w:multiLevelType w:val="hybridMultilevel"/>
    <w:tmpl w:val="E662D924"/>
    <w:lvl w:ilvl="0" w:tplc="B99C094E">
      <w:start w:val="1"/>
      <w:numFmt w:val="bullet"/>
      <w:lvlText w:val="Χ"/>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391A31"/>
    <w:multiLevelType w:val="hybridMultilevel"/>
    <w:tmpl w:val="66D44A2A"/>
    <w:lvl w:ilvl="0" w:tplc="4B4C025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D85755"/>
    <w:multiLevelType w:val="hybridMultilevel"/>
    <w:tmpl w:val="66368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5193888"/>
    <w:multiLevelType w:val="hybridMultilevel"/>
    <w:tmpl w:val="D66442B0"/>
    <w:lvl w:ilvl="0" w:tplc="4B4C025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55238949">
    <w:abstractNumId w:val="4"/>
  </w:num>
  <w:num w:numId="2" w16cid:durableId="178008340">
    <w:abstractNumId w:val="1"/>
  </w:num>
  <w:num w:numId="3" w16cid:durableId="1522089062">
    <w:abstractNumId w:val="5"/>
  </w:num>
  <w:num w:numId="4" w16cid:durableId="658047266">
    <w:abstractNumId w:val="3"/>
  </w:num>
  <w:num w:numId="5" w16cid:durableId="666174690">
    <w:abstractNumId w:val="2"/>
  </w:num>
  <w:num w:numId="6" w16cid:durableId="128018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E6"/>
    <w:rsid w:val="001450E6"/>
    <w:rsid w:val="00172F69"/>
    <w:rsid w:val="001A182D"/>
    <w:rsid w:val="001E7FBF"/>
    <w:rsid w:val="00226771"/>
    <w:rsid w:val="002B7D0C"/>
    <w:rsid w:val="004A58B6"/>
    <w:rsid w:val="006E356E"/>
    <w:rsid w:val="006E4CBB"/>
    <w:rsid w:val="007F49D0"/>
    <w:rsid w:val="007F7AEC"/>
    <w:rsid w:val="00941E5E"/>
    <w:rsid w:val="00A879F4"/>
    <w:rsid w:val="00AA1C4A"/>
    <w:rsid w:val="00DE7169"/>
    <w:rsid w:val="00F061FC"/>
    <w:rsid w:val="00F335EA"/>
    <w:rsid w:val="00F606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07737"/>
  <w15:chartTrackingRefBased/>
  <w15:docId w15:val="{BBC14C28-818B-4A09-880E-927D0ED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0E6"/>
    <w:rPr>
      <w:rFonts w:eastAsiaTheme="majorEastAsia" w:cstheme="majorBidi"/>
      <w:color w:val="272727" w:themeColor="text1" w:themeTint="D8"/>
    </w:rPr>
  </w:style>
  <w:style w:type="paragraph" w:styleId="Title">
    <w:name w:val="Title"/>
    <w:basedOn w:val="Normal"/>
    <w:next w:val="Normal"/>
    <w:link w:val="TitleChar"/>
    <w:uiPriority w:val="10"/>
    <w:qFormat/>
    <w:rsid w:val="00145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0E6"/>
    <w:pPr>
      <w:spacing w:before="160"/>
      <w:jc w:val="center"/>
    </w:pPr>
    <w:rPr>
      <w:i/>
      <w:iCs/>
      <w:color w:val="404040" w:themeColor="text1" w:themeTint="BF"/>
    </w:rPr>
  </w:style>
  <w:style w:type="character" w:customStyle="1" w:styleId="QuoteChar">
    <w:name w:val="Quote Char"/>
    <w:basedOn w:val="DefaultParagraphFont"/>
    <w:link w:val="Quote"/>
    <w:uiPriority w:val="29"/>
    <w:rsid w:val="001450E6"/>
    <w:rPr>
      <w:i/>
      <w:iCs/>
      <w:color w:val="404040" w:themeColor="text1" w:themeTint="BF"/>
    </w:rPr>
  </w:style>
  <w:style w:type="paragraph" w:styleId="ListParagraph">
    <w:name w:val="List Paragraph"/>
    <w:basedOn w:val="Normal"/>
    <w:uiPriority w:val="34"/>
    <w:qFormat/>
    <w:rsid w:val="001450E6"/>
    <w:pPr>
      <w:ind w:left="720"/>
      <w:contextualSpacing/>
    </w:pPr>
  </w:style>
  <w:style w:type="character" w:styleId="IntenseEmphasis">
    <w:name w:val="Intense Emphasis"/>
    <w:basedOn w:val="DefaultParagraphFont"/>
    <w:uiPriority w:val="21"/>
    <w:qFormat/>
    <w:rsid w:val="001450E6"/>
    <w:rPr>
      <w:i/>
      <w:iCs/>
      <w:color w:val="0F4761" w:themeColor="accent1" w:themeShade="BF"/>
    </w:rPr>
  </w:style>
  <w:style w:type="paragraph" w:styleId="IntenseQuote">
    <w:name w:val="Intense Quote"/>
    <w:basedOn w:val="Normal"/>
    <w:next w:val="Normal"/>
    <w:link w:val="IntenseQuoteChar"/>
    <w:uiPriority w:val="30"/>
    <w:qFormat/>
    <w:rsid w:val="0014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0E6"/>
    <w:rPr>
      <w:i/>
      <w:iCs/>
      <w:color w:val="0F4761" w:themeColor="accent1" w:themeShade="BF"/>
    </w:rPr>
  </w:style>
  <w:style w:type="character" w:styleId="IntenseReference">
    <w:name w:val="Intense Reference"/>
    <w:basedOn w:val="DefaultParagraphFont"/>
    <w:uiPriority w:val="32"/>
    <w:qFormat/>
    <w:rsid w:val="001450E6"/>
    <w:rPr>
      <w:b/>
      <w:bCs/>
      <w:smallCaps/>
      <w:color w:val="0F4761" w:themeColor="accent1" w:themeShade="BF"/>
      <w:spacing w:val="5"/>
    </w:rPr>
  </w:style>
  <w:style w:type="paragraph" w:styleId="Header">
    <w:name w:val="header"/>
    <w:basedOn w:val="Normal"/>
    <w:link w:val="HeaderChar"/>
    <w:uiPriority w:val="99"/>
    <w:unhideWhenUsed/>
    <w:rsid w:val="00145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0E6"/>
  </w:style>
  <w:style w:type="paragraph" w:styleId="Footer">
    <w:name w:val="footer"/>
    <w:basedOn w:val="Normal"/>
    <w:link w:val="FooterChar"/>
    <w:uiPriority w:val="99"/>
    <w:unhideWhenUsed/>
    <w:rsid w:val="00145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0E6"/>
  </w:style>
  <w:style w:type="table" w:styleId="TableGrid">
    <w:name w:val="Table Grid"/>
    <w:basedOn w:val="TableNormal"/>
    <w:uiPriority w:val="39"/>
    <w:rsid w:val="006E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FBF"/>
    <w:rPr>
      <w:color w:val="467886" w:themeColor="hyperlink"/>
      <w:u w:val="single"/>
    </w:rPr>
  </w:style>
  <w:style w:type="character" w:styleId="UnresolvedMention">
    <w:name w:val="Unresolved Mention"/>
    <w:basedOn w:val="DefaultParagraphFont"/>
    <w:uiPriority w:val="99"/>
    <w:semiHidden/>
    <w:unhideWhenUsed/>
    <w:rsid w:val="001E7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3433">
      <w:bodyDiv w:val="1"/>
      <w:marLeft w:val="0"/>
      <w:marRight w:val="0"/>
      <w:marTop w:val="0"/>
      <w:marBottom w:val="0"/>
      <w:divBdr>
        <w:top w:val="none" w:sz="0" w:space="0" w:color="auto"/>
        <w:left w:val="none" w:sz="0" w:space="0" w:color="auto"/>
        <w:bottom w:val="none" w:sz="0" w:space="0" w:color="auto"/>
        <w:right w:val="none" w:sz="0" w:space="0" w:color="auto"/>
      </w:divBdr>
    </w:div>
    <w:div w:id="1104111447">
      <w:bodyDiv w:val="1"/>
      <w:marLeft w:val="0"/>
      <w:marRight w:val="0"/>
      <w:marTop w:val="0"/>
      <w:marBottom w:val="0"/>
      <w:divBdr>
        <w:top w:val="none" w:sz="0" w:space="0" w:color="auto"/>
        <w:left w:val="none" w:sz="0" w:space="0" w:color="auto"/>
        <w:bottom w:val="none" w:sz="0" w:space="0" w:color="auto"/>
        <w:right w:val="none" w:sz="0" w:space="0" w:color="auto"/>
      </w:divBdr>
    </w:div>
    <w:div w:id="1424641994">
      <w:bodyDiv w:val="1"/>
      <w:marLeft w:val="0"/>
      <w:marRight w:val="0"/>
      <w:marTop w:val="0"/>
      <w:marBottom w:val="0"/>
      <w:divBdr>
        <w:top w:val="none" w:sz="0" w:space="0" w:color="auto"/>
        <w:left w:val="none" w:sz="0" w:space="0" w:color="auto"/>
        <w:bottom w:val="none" w:sz="0" w:space="0" w:color="auto"/>
        <w:right w:val="none" w:sz="0" w:space="0" w:color="auto"/>
      </w:divBdr>
    </w:div>
    <w:div w:id="200227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fo@southislandmsa.ca" TargetMode="External"/><Relationship Id="rId3" Type="http://schemas.openxmlformats.org/officeDocument/2006/relationships/settings" Target="settings.xml"/><Relationship Id="rId7" Type="http://schemas.openxmlformats.org/officeDocument/2006/relationships/hyperlink" Target="https://forms.gle/fYPZdee7YNxQjYxF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Kjekstad</dc:creator>
  <cp:keywords/>
  <dc:description/>
  <cp:lastModifiedBy>Erica Kjekstad</cp:lastModifiedBy>
  <cp:revision>8</cp:revision>
  <dcterms:created xsi:type="dcterms:W3CDTF">2025-03-03T18:40:00Z</dcterms:created>
  <dcterms:modified xsi:type="dcterms:W3CDTF">2025-06-09T18:45:00Z</dcterms:modified>
</cp:coreProperties>
</file>